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September 2022 planmaessig in der laufenden Phase. Budget-Forecast +3 % – Steuerungsmassnahmen eingeleitet.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Oktober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