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Dezember 2022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Dezember 2022 planmaessig in der laufenden Phase. Termin- und Budget-konform; keine kritischen Risiken offen.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Januar 2023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