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2023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Maerz 2023 planmaessig in der laufenden Phase. Budget-Forecast +3 % – Steuerungsmassnahmen eingeleitet.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April 2023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