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Juni 2023 planmaessig in der laufenden Phase. Termin- und Budget-konform; keine kritischen Risiken offen.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