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Juli 2023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Juli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August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Juli 2023 planmaessig in der laufenden Phase. Termintreue mit leichter Verzoegerung; Massnahmen wirken.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Detaildesign FuSi (ASIL-D) abgeschlossen; Review-Workshop nachgelagert.</w:t>
      </w:r>
    </w:p>
    <w:p>
      <w:pPr>
        <w:pStyle w:val="ListBullet"/>
      </w:pPr>
      <w:r>
        <w:t>RTM-Coverage auf 98 % der DOORS-Anforderungen.</w:t>
      </w:r>
    </w:p>
    <w:p>
      <w:pPr>
        <w:pStyle w:val="ListBullet"/>
      </w:pPr>
      <w:r>
        <w:t>Cyber-Security-Audit (intern, TISAX-Vorbereitung) ohne Major-Findings.</w:t>
      </w:r>
    </w:p>
    <w:p>
      <w:pPr>
        <w:pStyle w:val="ListBullet"/>
      </w:pPr>
      <w:r>
        <w:t>Personalaufbau +2 Engineers (Senior/Mid) erfolgreich.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August 2023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