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August 2023 planmaessig in der laufenden Phase. Budget-Forecast +3 % – Steuerungsmassnahmen eingeleitet.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