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November 2023 planmaessig in der laufenden Phase. Termin- und Budget-konform; keine kritischen Risiken offen.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