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Februar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Februar 2022 planmaessig in der laufenden Phase. Termin- und Budget-konform; keine kritischen Risiken offen.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