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G2 – Systemdesign</w:t>
      </w:r>
    </w:p>
    <w:p>
      <w:pPr>
        <w:jc w:val="center"/>
      </w:pPr>
      <w:r>
        <w:t>PRJ-2022-002 – InfoConnect Pro 4.0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PRJ-2022-002</w:t>
            </w:r>
          </w:p>
        </w:tc>
      </w:tr>
      <w:tr>
        <w:tc>
          <w:tcPr>
            <w:tcW w:type="dxa" w:w="4320"/>
          </w:tcPr>
          <w:p>
            <w:r>
              <w:t>Projekt-Titel</w:t>
            </w:r>
          </w:p>
        </w:tc>
        <w:tc>
          <w:tcPr>
            <w:tcW w:type="dxa" w:w="4320"/>
          </w:tcPr>
          <w:p>
            <w:r>
              <w:t>InfoConnect Pro 4.0</w:t>
            </w:r>
          </w:p>
        </w:tc>
      </w:tr>
      <w:tr>
        <w:tc>
          <w:tcPr>
            <w:tcW w:type="dxa" w:w="4320"/>
          </w:tcPr>
          <w:p>
            <w:r>
              <w:t>Gate</w:t>
            </w:r>
          </w:p>
        </w:tc>
        <w:tc>
          <w:tcPr>
            <w:tcW w:type="dxa" w:w="4320"/>
          </w:tcPr>
          <w:p>
            <w:r>
              <w:t>G2 – Systemdesign</w:t>
            </w:r>
          </w:p>
        </w:tc>
      </w:tr>
      <w:tr>
        <w:tc>
          <w:tcPr>
            <w:tcW w:type="dxa" w:w="4320"/>
          </w:tcPr>
          <w:p>
            <w:r>
              <w:t>Gate-Inhalt (Phase Exit)</w:t>
            </w:r>
          </w:p>
        </w:tc>
        <w:tc>
          <w:tcPr>
            <w:tcW w:type="dxa" w:w="4320"/>
          </w:tcPr>
          <w:p>
            <w:r>
              <w:t>System-Architektur, Pflichtenheft Version 1.0</w:t>
            </w:r>
          </w:p>
        </w:tc>
      </w:tr>
      <w:tr>
        <w:tc>
          <w:tcPr>
            <w:tcW w:type="dxa" w:w="4320"/>
          </w:tcPr>
          <w:p>
            <w:r>
              <w:t>Sitzungstermin</w:t>
            </w:r>
          </w:p>
        </w:tc>
        <w:tc>
          <w:tcPr>
            <w:tcW w:type="dxa" w:w="4320"/>
          </w:tcPr>
          <w:p>
            <w:r>
              <w:t>15.10.2022</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Stefan Hoffmann (CTO)</w:t>
            </w:r>
          </w:p>
        </w:tc>
      </w:tr>
      <w:tr>
        <w:tc>
          <w:tcPr>
            <w:tcW w:type="dxa" w:w="4320"/>
          </w:tcPr>
          <w:p>
            <w:r>
              <w:t>Projektleitung</w:t>
            </w:r>
          </w:p>
        </w:tc>
        <w:tc>
          <w:tcPr>
            <w:tcW w:type="dxa" w:w="4320"/>
          </w:tcPr>
          <w:p>
            <w:r>
              <w:t>Lars Wittmann (RSG)</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Pflichtenheft abgenommen – ERFUELLT</w:t>
      </w:r>
    </w:p>
    <w:p>
      <w:pPr>
        <w:pStyle w:val="ListBullet"/>
      </w:pPr>
      <w:r>
        <w:t>Architektur-Review Vector / dSpace – ERFUELLT</w:t>
      </w:r>
    </w:p>
    <w:p>
      <w:pPr>
        <w:pStyle w:val="ListBullet"/>
      </w:pPr>
      <w:r>
        <w:t>FMEA D-FMEA + System-FMEA Stand 80 % – ERFUELLT</w:t>
      </w:r>
    </w:p>
    <w:p>
      <w:pPr>
        <w:pStyle w:val="ListBullet"/>
      </w:pPr>
      <w:r>
        <w:t>Lieferanten-Vorvereinbarungen (RFI/RFQ)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/projekte/PRJ-2022-002/gates/G2/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G2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Lars Wittmann (RSG)</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Lars Wittmann (RSG)</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Lars Wittmann (RSG)</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15.10.2022</w:t>
      </w:r>
    </w:p>
    <w:p>
      <w:r>
        <w:t>_________________________            _________________________</w:t>
        <w:br/>
        <w:t>Stefan Hoffmann                          Lars Wittmann (RSG)</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