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G4 – Validierung</w:t>
      </w:r>
    </w:p>
    <w:p>
      <w:pPr>
        <w:jc w:val="center"/>
      </w:pPr>
      <w:r>
        <w:t>PRJ-2022-002 – InfoConnect Pro 4.0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PRJ-2022-002</w:t>
            </w:r>
          </w:p>
        </w:tc>
      </w:tr>
      <w:tr>
        <w:tc>
          <w:tcPr>
            <w:tcW w:type="dxa" w:w="4320"/>
          </w:tcPr>
          <w:p>
            <w:r>
              <w:t>Projekt-Titel</w:t>
            </w:r>
          </w:p>
        </w:tc>
        <w:tc>
          <w:tcPr>
            <w:tcW w:type="dxa" w:w="4320"/>
          </w:tcPr>
          <w:p>
            <w:r>
              <w:t>InfoConnect Pro 4.0</w:t>
            </w:r>
          </w:p>
        </w:tc>
      </w:tr>
      <w:tr>
        <w:tc>
          <w:tcPr>
            <w:tcW w:type="dxa" w:w="4320"/>
          </w:tcPr>
          <w:p>
            <w:r>
              <w:t>Gate</w:t>
            </w:r>
          </w:p>
        </w:tc>
        <w:tc>
          <w:tcPr>
            <w:tcW w:type="dxa" w:w="4320"/>
          </w:tcPr>
          <w:p>
            <w:r>
              <w:t>G4 – Validierung</w:t>
            </w:r>
          </w:p>
        </w:tc>
      </w:tr>
      <w:tr>
        <w:tc>
          <w:tcPr>
            <w:tcW w:type="dxa" w:w="4320"/>
          </w:tcPr>
          <w:p>
            <w:r>
              <w:t>Gate-Inhalt (Phase Exit)</w:t>
            </w:r>
          </w:p>
        </w:tc>
        <w:tc>
          <w:tcPr>
            <w:tcW w:type="dxa" w:w="4320"/>
          </w:tcPr>
          <w:p>
            <w:r>
              <w:t>PPAP, Production Validation, Type Approval</w:t>
            </w:r>
          </w:p>
        </w:tc>
      </w:tr>
      <w:tr>
        <w:tc>
          <w:tcPr>
            <w:tcW w:type="dxa" w:w="4320"/>
          </w:tcPr>
          <w:p>
            <w:r>
              <w:t>Sitzungstermin</w:t>
            </w:r>
          </w:p>
        </w:tc>
        <w:tc>
          <w:tcPr>
            <w:tcW w:type="dxa" w:w="4320"/>
          </w:tcPr>
          <w:p>
            <w:r>
              <w:t>15.11.2023</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Stefan Hoffmann (CTO)</w:t>
            </w:r>
          </w:p>
        </w:tc>
      </w:tr>
      <w:tr>
        <w:tc>
          <w:tcPr>
            <w:tcW w:type="dxa" w:w="4320"/>
          </w:tcPr>
          <w:p>
            <w:r>
              <w:t>Projektleitung</w:t>
            </w:r>
          </w:p>
        </w:tc>
        <w:tc>
          <w:tcPr>
            <w:tcW w:type="dxa" w:w="4320"/>
          </w:tcPr>
          <w:p>
            <w:r>
              <w:t>Lars Wittmann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PV-Plan vollstaendig abgearbeitet – ERFUELLT</w:t>
      </w:r>
    </w:p>
    <w:p>
      <w:pPr>
        <w:pStyle w:val="ListBullet"/>
      </w:pPr>
      <w:r>
        <w:t>PPAP Level 3 beim Kunden eingereicht – ERFUELLT</w:t>
      </w:r>
    </w:p>
    <w:p>
      <w:pPr>
        <w:pStyle w:val="ListBullet"/>
      </w:pPr>
      <w:r>
        <w:t>Cyber-Security UN R155 / TISAX-Konformitaet – ERFUELLT</w:t>
      </w:r>
    </w:p>
    <w:p>
      <w:pPr>
        <w:pStyle w:val="ListBullet"/>
      </w:pPr>
      <w:r>
        <w:t>EOL-Pruefstand abgenommen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/projekte/PRJ-2022-002/gates/G4/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G4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Lars Wittmann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Lars Wittmann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Lars Wittmann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15.11.2023</w:t>
      </w:r>
    </w:p>
    <w:p>
      <w:r>
        <w:t>_________________________            _________________________</w:t>
        <w:br/>
        <w:t>Stefan Hoffmann                          Lars Wittmann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