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PRJ-2022-002 – InfoConnect Pro 4.0</w:t>
      </w:r>
    </w:p>
    <w:p>
      <w:pPr>
        <w:jc w:val="center"/>
      </w:pPr>
      <w:r>
        <w:t>Post-Mortem-Workshop, Stand 2024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22.7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23.6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2024</w:t>
      </w:r>
    </w:p>
    <w:p>
      <w:r>
        <w:t>_________________________            _________________________</w:t>
        <w:br/>
        <w:t>Stefan Hoffmann                          Lars Wittmann (RSG)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