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2022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November 2022 planmaessig in der laufenden Phase. Termin- und Budget-konform; keine kritischen Risiken offen.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Dezember 2022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