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Brennhagen Elektronik AG</w:t>
      </w:r>
    </w:p>
    <w:p>
      <w:r>
        <w:rPr>
          <w:sz w:val="18"/>
        </w:rPr>
        <w:t>Vaihinger Straße 120, 70567 Stuttgart  |  HRB 726451, Amtsgericht Stuttgart</w:t>
      </w:r>
    </w:p>
    <w:p>
      <w:r>
        <w:t>────────────────────────────────────────────────────────────────────────────────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Status Mai 2023 – PRJ-2022-002</w:t>
      </w:r>
    </w:p>
    <w:p>
      <w:pPr>
        <w:jc w:val="center"/>
      </w:pPr>
      <w:r>
        <w:t>InfoConnect Pro 4.0 | Projekt-Statusbericht (monatlich)</w:t>
      </w:r>
    </w:p>
    <w:p/>
    <w:p>
      <w:pPr>
        <w:pStyle w:val="Heading3"/>
      </w:pPr>
      <w:r>
        <w:t>1. Projekt-Identifikation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Feld</w:t>
            </w:r>
          </w:p>
        </w:tc>
        <w:tc>
          <w:tcPr>
            <w:tcW w:type="dxa" w:w="4320"/>
          </w:tcPr>
          <w:p>
            <w:r>
              <w:t>Inhalt</w:t>
            </w:r>
          </w:p>
        </w:tc>
      </w:tr>
      <w:tr>
        <w:tc>
          <w:tcPr>
            <w:tcW w:type="dxa" w:w="4320"/>
          </w:tcPr>
          <w:p>
            <w:r>
              <w:t>Projekt-ID</w:t>
            </w:r>
          </w:p>
        </w:tc>
        <w:tc>
          <w:tcPr>
            <w:tcW w:type="dxa" w:w="4320"/>
          </w:tcPr>
          <w:p>
            <w:r>
              <w:t>PRJ-2022-002</w:t>
            </w:r>
          </w:p>
        </w:tc>
      </w:tr>
      <w:tr>
        <w:tc>
          <w:tcPr>
            <w:tcW w:type="dxa" w:w="4320"/>
          </w:tcPr>
          <w:p>
            <w:r>
              <w:t>Projekt-Titel</w:t>
            </w:r>
          </w:p>
        </w:tc>
        <w:tc>
          <w:tcPr>
            <w:tcW w:type="dxa" w:w="4320"/>
          </w:tcPr>
          <w:p>
            <w:r>
              <w:t>InfoConnect Pro 4.0</w:t>
            </w:r>
          </w:p>
        </w:tc>
      </w:tr>
      <w:tr>
        <w:tc>
          <w:tcPr>
            <w:tcW w:type="dxa" w:w="4320"/>
          </w:tcPr>
          <w:p>
            <w:r>
              <w:t>Produktbezug</w:t>
            </w:r>
          </w:p>
        </w:tc>
        <w:tc>
          <w:tcPr>
            <w:tcW w:type="dxa" w:w="4320"/>
          </w:tcPr>
          <w:p>
            <w:r>
              <w:t>ICP-3</w:t>
            </w:r>
          </w:p>
        </w:tc>
      </w:tr>
      <w:tr>
        <w:tc>
          <w:tcPr>
            <w:tcW w:type="dxa" w:w="4320"/>
          </w:tcPr>
          <w:p>
            <w:r>
              <w:t>Hauptkunde / OEM</w:t>
            </w:r>
          </w:p>
        </w:tc>
        <w:tc>
          <w:tcPr>
            <w:tcW w:type="dxa" w:w="4320"/>
          </w:tcPr>
          <w:p>
            <w:r>
              <w:t>BMW / Mercedes</w:t>
            </w:r>
          </w:p>
        </w:tc>
      </w:tr>
      <w:tr>
        <w:tc>
          <w:tcPr>
            <w:tcW w:type="dxa" w:w="4320"/>
          </w:tcPr>
          <w:p>
            <w:r>
              <w:t>Projektleitung</w:t>
            </w:r>
          </w:p>
        </w:tc>
        <w:tc>
          <w:tcPr>
            <w:tcW w:type="dxa" w:w="4320"/>
          </w:tcPr>
          <w:p>
            <w:r>
              <w:t>Lars Wittmann (RSG)</w:t>
            </w:r>
          </w:p>
        </w:tc>
      </w:tr>
      <w:tr>
        <w:tc>
          <w:tcPr>
            <w:tcW w:type="dxa" w:w="4320"/>
          </w:tcPr>
          <w:p>
            <w:r>
              <w:t>Projekt-Sponsor</w:t>
            </w:r>
          </w:p>
        </w:tc>
        <w:tc>
          <w:tcPr>
            <w:tcW w:type="dxa" w:w="4320"/>
          </w:tcPr>
          <w:p>
            <w:r>
              <w:t>Stefan Hoffmann (CTO)</w:t>
            </w:r>
          </w:p>
        </w:tc>
      </w:tr>
      <w:tr>
        <w:tc>
          <w:tcPr>
            <w:tcW w:type="dxa" w:w="4320"/>
          </w:tcPr>
          <w:p>
            <w:r>
              <w:t>Berichtsmonat</w:t>
            </w:r>
          </w:p>
        </w:tc>
        <w:tc>
          <w:tcPr>
            <w:tcW w:type="dxa" w:w="4320"/>
          </w:tcPr>
          <w:p>
            <w:r>
              <w:t>Mai 2023</w:t>
            </w:r>
          </w:p>
        </w:tc>
      </w:tr>
      <w:tr>
        <w:tc>
          <w:tcPr>
            <w:tcW w:type="dxa" w:w="4320"/>
          </w:tcPr>
          <w:p>
            <w:r>
              <w:t>Erstellt am</w:t>
            </w:r>
          </w:p>
        </w:tc>
        <w:tc>
          <w:tcPr>
            <w:tcW w:type="dxa" w:w="4320"/>
          </w:tcPr>
          <w:p>
            <w:r>
              <w:t>05. Juni 2023</w:t>
            </w:r>
          </w:p>
        </w:tc>
      </w:tr>
    </w:tbl>
    <w:p>
      <w:pPr>
        <w:pStyle w:val="Heading3"/>
      </w:pPr>
      <w:r>
        <w:t>2. Status-Ampel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Dimension</w:t>
            </w:r>
          </w:p>
        </w:tc>
        <w:tc>
          <w:tcPr>
            <w:tcW w:type="dxa" w:w="2880"/>
          </w:tcPr>
          <w:p>
            <w:r>
              <w:t>Ampel</w:t>
            </w:r>
          </w:p>
        </w:tc>
        <w:tc>
          <w:tcPr>
            <w:tcW w:type="dxa" w:w="2880"/>
          </w:tcPr>
          <w:p>
            <w:r>
              <w:t>Kommentar</w:t>
            </w:r>
          </w:p>
        </w:tc>
      </w:tr>
      <w:tr>
        <w:tc>
          <w:tcPr>
            <w:tcW w:type="dxa" w:w="2880"/>
          </w:tcPr>
          <w:p>
            <w:r>
              <w:t>Termin</w:t>
            </w:r>
          </w:p>
        </w:tc>
        <w:tc>
          <w:tcPr>
            <w:tcW w:type="dxa" w:w="2880"/>
          </w:tcPr>
          <w:p>
            <w:r>
              <w:t>GRUEN</w:t>
            </w:r>
          </w:p>
        </w:tc>
        <w:tc>
          <w:tcPr>
            <w:tcW w:type="dxa" w:w="2880"/>
          </w:tcPr>
          <w:p>
            <w:r>
              <w:t>Bezogen auf Gate-Soll-Termine</w:t>
            </w:r>
          </w:p>
        </w:tc>
      </w:tr>
      <w:tr>
        <w:tc>
          <w:tcPr>
            <w:tcW w:type="dxa" w:w="2880"/>
          </w:tcPr>
          <w:p>
            <w:r>
              <w:t>Budget</w:t>
            </w:r>
          </w:p>
        </w:tc>
        <w:tc>
          <w:tcPr>
            <w:tcW w:type="dxa" w:w="2880"/>
          </w:tcPr>
          <w:p>
            <w:r>
              <w:t>GRUEN</w:t>
            </w:r>
          </w:p>
        </w:tc>
        <w:tc>
          <w:tcPr>
            <w:tcW w:type="dxa" w:w="2880"/>
          </w:tcPr>
          <w:p>
            <w:r>
              <w:t>EAC vs. Genehmigtes Budget</w:t>
            </w:r>
          </w:p>
        </w:tc>
      </w:tr>
      <w:tr>
        <w:tc>
          <w:tcPr>
            <w:tcW w:type="dxa" w:w="2880"/>
          </w:tcPr>
          <w:p>
            <w:r>
              <w:t>Qualitaet</w:t>
            </w:r>
          </w:p>
        </w:tc>
        <w:tc>
          <w:tcPr>
            <w:tcW w:type="dxa" w:w="2880"/>
          </w:tcPr>
          <w:p>
            <w:r>
              <w:t>GRUEN</w:t>
            </w:r>
          </w:p>
        </w:tc>
        <w:tc>
          <w:tcPr>
            <w:tcW w:type="dxa" w:w="2880"/>
          </w:tcPr>
          <w:p>
            <w:r>
              <w:t>Defects, Test-Coverage, Q-KPIs</w:t>
            </w:r>
          </w:p>
        </w:tc>
      </w:tr>
      <w:tr>
        <w:tc>
          <w:tcPr>
            <w:tcW w:type="dxa" w:w="2880"/>
          </w:tcPr>
          <w:p>
            <w:r>
              <w:t>Scope</w:t>
            </w:r>
          </w:p>
        </w:tc>
        <w:tc>
          <w:tcPr>
            <w:tcW w:type="dxa" w:w="2880"/>
          </w:tcPr>
          <w:p>
            <w:r>
              <w:t>GRUEN</w:t>
            </w:r>
          </w:p>
        </w:tc>
        <w:tc>
          <w:tcPr>
            <w:tcW w:type="dxa" w:w="2880"/>
          </w:tcPr>
          <w:p>
            <w:r>
              <w:t>Keine offenen Scope-Aenderungen</w:t>
            </w:r>
          </w:p>
        </w:tc>
      </w:tr>
      <w:tr>
        <w:tc>
          <w:tcPr>
            <w:tcW w:type="dxa" w:w="2880"/>
          </w:tcPr>
          <w:p>
            <w:r>
              <w:t>Risiken</w:t>
            </w:r>
          </w:p>
        </w:tc>
        <w:tc>
          <w:tcPr>
            <w:tcW w:type="dxa" w:w="2880"/>
          </w:tcPr>
          <w:p>
            <w:r>
              <w:t>GELB</w:t>
            </w:r>
          </w:p>
        </w:tc>
        <w:tc>
          <w:tcPr>
            <w:tcW w:type="dxa" w:w="2880"/>
          </w:tcPr>
          <w:p>
            <w:r>
              <w:t>Drei Top-Risiken aktiv, Massnahmen wirksam</w:t>
            </w:r>
          </w:p>
        </w:tc>
      </w:tr>
    </w:tbl>
    <w:p>
      <w:pPr>
        <w:pStyle w:val="Heading3"/>
      </w:pPr>
      <w:r>
        <w:t>3. Zusammenfassung</w:t>
      </w:r>
    </w:p>
    <w:p>
      <w:r>
        <w:t>Das Projekt PRJ-2022-002 (InfoConnect Pro 4.0) befindet sich im Berichtsmonat Mai 2023 planmaessig in der laufenden Phase. Termin- und Budget-konform; keine kritischen Risiken offen. Der Hauptkunde BMW / Mercedes wurde im Rahmen der monatlichen OEM-Steuerung informiert und hat den Berichtsstand zur Kenntnis genommen. Die Lenkungsausschuss-Sitzung des laufenden Monats hat die Massnahmen-Plaene zur Kenntnis genommen und keine Eskalation ausgesprochen.</w:t>
      </w:r>
    </w:p>
    <w:p>
      <w:pPr>
        <w:pStyle w:val="Heading3"/>
      </w:pPr>
      <w:r>
        <w:t>4. Fortschritt im Berichtsmonat</w:t>
      </w:r>
    </w:p>
    <w:p>
      <w:pPr>
        <w:pStyle w:val="ListBullet"/>
      </w:pPr>
      <w:r>
        <w:t>Architektur-Review mit Vector und dSpace abgeschlossen.</w:t>
      </w:r>
    </w:p>
    <w:p>
      <w:pPr>
        <w:pStyle w:val="ListBullet"/>
      </w:pPr>
      <w:r>
        <w:t>B-Muster-Fertigung in REG Heilbronn angelaufen (12/15 Samples).</w:t>
      </w:r>
    </w:p>
    <w:p>
      <w:pPr>
        <w:pStyle w:val="ListBullet"/>
      </w:pPr>
      <w:r>
        <w:t>HiL-Pruefstand RSG Muenchen mit aktualisierter FW geflasht.</w:t>
      </w:r>
    </w:p>
    <w:p>
      <w:pPr>
        <w:pStyle w:val="ListBullet"/>
      </w:pPr>
      <w:r>
        <w:t>Lieferanten-Onboarding Aurix (Infineon Distributor Avnet) bestaetigt.</w:t>
      </w:r>
    </w:p>
    <w:p>
      <w:pPr>
        <w:pStyle w:val="Heading3"/>
      </w:pPr>
      <w:r>
        <w:t>5. Top-3-Risiken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t>Risiko</w:t>
            </w:r>
          </w:p>
        </w:tc>
        <w:tc>
          <w:tcPr>
            <w:tcW w:type="dxa" w:w="2160"/>
          </w:tcPr>
          <w:p>
            <w:r>
              <w:t>Bewertung</w:t>
            </w:r>
          </w:p>
        </w:tc>
        <w:tc>
          <w:tcPr>
            <w:tcW w:type="dxa" w:w="2160"/>
          </w:tcPr>
          <w:p>
            <w:r>
              <w:t>Massnahme</w:t>
            </w:r>
          </w:p>
        </w:tc>
        <w:tc>
          <w:tcPr>
            <w:tcW w:type="dxa" w:w="2160"/>
          </w:tcPr>
          <w:p>
            <w:r>
              <w:t>Owner</w:t>
            </w:r>
          </w:p>
        </w:tc>
      </w:tr>
      <w:tr>
        <w:tc>
          <w:tcPr>
            <w:tcW w:type="dxa" w:w="2160"/>
          </w:tcPr>
          <w:p>
            <w:r>
              <w:t>Halbleiter-Allocation (Aurix/SoC)</w:t>
            </w:r>
          </w:p>
        </w:tc>
        <w:tc>
          <w:tcPr>
            <w:tcW w:type="dxa" w:w="2160"/>
          </w:tcPr>
          <w:p>
            <w:r>
              <w:t>Hoch</w:t>
            </w:r>
          </w:p>
        </w:tc>
        <w:tc>
          <w:tcPr>
            <w:tcW w:type="dxa" w:w="2160"/>
          </w:tcPr>
          <w:p>
            <w:r>
              <w:t>Strategic-Sourcing Eskalation</w:t>
            </w:r>
          </w:p>
        </w:tc>
        <w:tc>
          <w:tcPr>
            <w:tcW w:type="dxa" w:w="2160"/>
          </w:tcPr>
          <w:p>
            <w:r>
              <w:t>Group Purchasing</w:t>
            </w:r>
          </w:p>
        </w:tc>
      </w:tr>
      <w:tr>
        <w:tc>
          <w:tcPr>
            <w:tcW w:type="dxa" w:w="2160"/>
          </w:tcPr>
          <w:p>
            <w:r>
              <w:t>OEM-Spec-Spaetaenderung</w:t>
            </w:r>
          </w:p>
        </w:tc>
        <w:tc>
          <w:tcPr>
            <w:tcW w:type="dxa" w:w="2160"/>
          </w:tcPr>
          <w:p>
            <w:r>
              <w:t>Mittel</w:t>
            </w:r>
          </w:p>
        </w:tc>
        <w:tc>
          <w:tcPr>
            <w:tcW w:type="dxa" w:w="2160"/>
          </w:tcPr>
          <w:p>
            <w:r>
              <w:t>CCB-Steuerung + Change-Control</w:t>
            </w:r>
          </w:p>
        </w:tc>
        <w:tc>
          <w:tcPr>
            <w:tcW w:type="dxa" w:w="2160"/>
          </w:tcPr>
          <w:p>
            <w:r>
              <w:t>PMO</w:t>
            </w:r>
          </w:p>
        </w:tc>
      </w:tr>
      <w:tr>
        <w:tc>
          <w:tcPr>
            <w:tcW w:type="dxa" w:w="2160"/>
          </w:tcPr>
          <w:p>
            <w:r>
              <w:t>Personalverfuegbarkeit Engineering</w:t>
            </w:r>
          </w:p>
        </w:tc>
        <w:tc>
          <w:tcPr>
            <w:tcW w:type="dxa" w:w="2160"/>
          </w:tcPr>
          <w:p>
            <w:r>
              <w:t>Mittel</w:t>
            </w:r>
          </w:p>
        </w:tc>
        <w:tc>
          <w:tcPr>
            <w:tcW w:type="dxa" w:w="2160"/>
          </w:tcPr>
          <w:p>
            <w:r>
              <w:t>Capacity-Planning RSG</w:t>
            </w:r>
          </w:p>
        </w:tc>
        <w:tc>
          <w:tcPr>
            <w:tcW w:type="dxa" w:w="2160"/>
          </w:tcPr>
          <w:p>
            <w:r>
              <w:t>RSG Werkleitung</w:t>
            </w:r>
          </w:p>
        </w:tc>
      </w:tr>
    </w:tbl>
    <w:p>
      <w:pPr>
        <w:pStyle w:val="Heading3"/>
      </w:pPr>
      <w:r>
        <w:t>6. Budget-/Termin-Forecast</w:t>
      </w:r>
    </w:p>
    <w:p>
      <w:r>
        <w:t>Der Budget-Forecast (EAC) liegt aktuell innerhalb der vom Vorstand genehmigten Toleranz von 5 %. Die Termin-Verzuege aus den vorausgegangenen Phasen wurden teilweise durch parallelisierte Validierung kompensiert. Der naechste Termin-Update erfolgt im Rahmen der monatlichen Lenkungsausschuss-Sitzung.</w:t>
      </w:r>
    </w:p>
    <w:p>
      <w:pPr>
        <w:pStyle w:val="Heading3"/>
      </w:pPr>
      <w:r>
        <w:t>7. Themen / Plan fuer Folgemonat</w:t>
      </w:r>
    </w:p>
    <w:p>
      <w:pPr>
        <w:pStyle w:val="ListBullet"/>
      </w:pPr>
      <w:r>
        <w:t>Validierungs-Sign-Off</w:t>
      </w:r>
    </w:p>
    <w:p>
      <w:pPr>
        <w:pStyle w:val="ListBullet"/>
      </w:pPr>
      <w:r>
        <w:t>Type-Approval-Antrag KBA</w:t>
      </w:r>
    </w:p>
    <w:p>
      <w:pPr>
        <w:pStyle w:val="ListBullet"/>
      </w:pPr>
      <w:r>
        <w:t>Production Readiness Review</w:t>
      </w:r>
    </w:p>
    <w:p>
      <w:pPr>
        <w:pStyle w:val="ListBullet"/>
      </w:pPr>
      <w:r>
        <w:t>Lessons-Learned-Workshop</w:t>
      </w:r>
    </w:p>
    <w:p>
      <w:pPr>
        <w:pStyle w:val="Heading3"/>
      </w:pPr>
      <w:r>
        <w:t>8. Unterschrift / Freigabe</w:t>
      </w:r>
    </w:p>
    <w:p>
      <w:r>
        <w:t>Ort, Datum: Stuttgart, den 05. Juni 2023</w:t>
      </w:r>
    </w:p>
    <w:p>
      <w:r>
        <w:t>_________________________            _________________________</w:t>
        <w:br/>
        <w:t>Lars Wittmann (RSG)                          Stefan Hoffmann</w:t>
        <w:br/>
        <w:t>Projektleitung                          Projekt-Sponsor</w:t>
        <w:br/>
        <w:t>Brennhagen Elektronik AG                       Brennhagen Elektronik AG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