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Oktober 2023 planmaessig in der laufenden Phase. Termin- und Budget-konform; keine kritischen Risiken offen.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November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