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2024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Januar 2024 planmaessig in der laufenden Phase. Budget-Forecast +3 % – Steuerungsmassnahmen eingeleitet.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Februar 2024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