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Juni 2022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Juni 2022 planmaessig in der laufenden Phase. Termin- und Budget-konform; keine kritischen Risiken offen.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Juli 2022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