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G1 – Konzept</w:t>
      </w:r>
    </w:p>
    <w:p>
      <w:pPr>
        <w:jc w:val="center"/>
      </w:pPr>
      <w:r>
        <w:t>PRJ-2022-003 – ECU-900 AUTOSAR Refactoring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PRJ-2022-003</w:t>
            </w:r>
          </w:p>
        </w:tc>
      </w:tr>
      <w:tr>
        <w:tc>
          <w:tcPr>
            <w:tcW w:type="dxa" w:w="4320"/>
          </w:tcPr>
          <w:p>
            <w:r>
              <w:t>Projekt-Titel</w:t>
            </w:r>
          </w:p>
        </w:tc>
        <w:tc>
          <w:tcPr>
            <w:tcW w:type="dxa" w:w="4320"/>
          </w:tcPr>
          <w:p>
            <w:r>
              <w:t>ECU-900 AUTOSAR Refactoring</w:t>
            </w:r>
          </w:p>
        </w:tc>
      </w:tr>
      <w:tr>
        <w:tc>
          <w:tcPr>
            <w:tcW w:type="dxa" w:w="4320"/>
          </w:tcPr>
          <w:p>
            <w:r>
              <w:t>Gate</w:t>
            </w:r>
          </w:p>
        </w:tc>
        <w:tc>
          <w:tcPr>
            <w:tcW w:type="dxa" w:w="4320"/>
          </w:tcPr>
          <w:p>
            <w:r>
              <w:t>G1 – Konzept</w:t>
            </w:r>
          </w:p>
        </w:tc>
      </w:tr>
      <w:tr>
        <w:tc>
          <w:tcPr>
            <w:tcW w:type="dxa" w:w="4320"/>
          </w:tcPr>
          <w:p>
            <w:r>
              <w:t>Gate-Inhalt (Phase Exit)</w:t>
            </w:r>
          </w:p>
        </w:tc>
        <w:tc>
          <w:tcPr>
            <w:tcW w:type="dxa" w:w="4320"/>
          </w:tcPr>
          <w:p>
            <w:r>
              <w:t>Konzept-Spec, Business-Case v2, Top-Level-Architektur</w:t>
            </w:r>
          </w:p>
        </w:tc>
      </w:tr>
      <w:tr>
        <w:tc>
          <w:tcPr>
            <w:tcW w:type="dxa" w:w="4320"/>
          </w:tcPr>
          <w:p>
            <w:r>
              <w:t>Sitzungstermin</w:t>
            </w:r>
          </w:p>
        </w:tc>
        <w:tc>
          <w:tcPr>
            <w:tcW w:type="dxa" w:w="4320"/>
          </w:tcPr>
          <w:p>
            <w:r>
              <w:t>15.04.2022</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Dr. Thomas Weber (COO)</w:t>
            </w:r>
          </w:p>
        </w:tc>
      </w:tr>
      <w:tr>
        <w:tc>
          <w:tcPr>
            <w:tcW w:type="dxa" w:w="4320"/>
          </w:tcPr>
          <w:p>
            <w:r>
              <w:t>Projektleitung</w:t>
            </w:r>
          </w:p>
        </w:tc>
        <w:tc>
          <w:tcPr>
            <w:tcW w:type="dxa" w:w="4320"/>
          </w:tcPr>
          <w:p>
            <w:r>
              <w:t>Marco Frey (RSG)</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Konzept-Spec v1.0 abgenommen – ERFUELLT</w:t>
      </w:r>
    </w:p>
    <w:p>
      <w:pPr>
        <w:pStyle w:val="ListBullet"/>
      </w:pPr>
      <w:r>
        <w:t>Business-Case &gt; 18 % IRR bestaetigt – ERFUELLT</w:t>
      </w:r>
    </w:p>
    <w:p>
      <w:pPr>
        <w:pStyle w:val="ListBullet"/>
      </w:pPr>
      <w:r>
        <w:t>Risiko-Register (initial) freigegeben – ERFUELLT</w:t>
      </w:r>
    </w:p>
    <w:p>
      <w:pPr>
        <w:pStyle w:val="ListBullet"/>
      </w:pPr>
      <w:r>
        <w:t>Konzept-Architektur Review-Workshop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/projekte/PRJ-2022-003/gates/G1/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G1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Marco Frey (RSG)</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Marco Frey (RSG)</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Marco Frey (RSG)</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15.04.2022</w:t>
      </w:r>
    </w:p>
    <w:p>
      <w:r>
        <w:t>_________________________            _________________________</w:t>
        <w:br/>
        <w:t>Dr. Thomas Weber                          Marco Frey (RSG)</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