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G3 – Detailentwicklung</w:t>
      </w:r>
    </w:p>
    <w:p>
      <w:pPr>
        <w:jc w:val="center"/>
      </w:pPr>
      <w:r>
        <w:t>PRJ-2022-003 – ECU-900 AUTOSAR Refactoring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PRJ-2022-003</w:t>
            </w:r>
          </w:p>
        </w:tc>
      </w:tr>
      <w:tr>
        <w:tc>
          <w:tcPr>
            <w:tcW w:type="dxa" w:w="4320"/>
          </w:tcPr>
          <w:p>
            <w:r>
              <w:t>Projekt-Titel</w:t>
            </w:r>
          </w:p>
        </w:tc>
        <w:tc>
          <w:tcPr>
            <w:tcW w:type="dxa" w:w="4320"/>
          </w:tcPr>
          <w:p>
            <w:r>
              <w:t>ECU-900 AUTOSAR Refactoring</w:t>
            </w:r>
          </w:p>
        </w:tc>
      </w:tr>
      <w:tr>
        <w:tc>
          <w:tcPr>
            <w:tcW w:type="dxa" w:w="4320"/>
          </w:tcPr>
          <w:p>
            <w:r>
              <w:t>Gate</w:t>
            </w:r>
          </w:p>
        </w:tc>
        <w:tc>
          <w:tcPr>
            <w:tcW w:type="dxa" w:w="4320"/>
          </w:tcPr>
          <w:p>
            <w:r>
              <w:t>G3 – Detailentwicklung</w:t>
            </w:r>
          </w:p>
        </w:tc>
      </w:tr>
      <w:tr>
        <w:tc>
          <w:tcPr>
            <w:tcW w:type="dxa" w:w="4320"/>
          </w:tcPr>
          <w:p>
            <w:r>
              <w:t>Gate-Inhalt (Phase Exit)</w:t>
            </w:r>
          </w:p>
        </w:tc>
        <w:tc>
          <w:tcPr>
            <w:tcW w:type="dxa" w:w="4320"/>
          </w:tcPr>
          <w:p>
            <w:r>
              <w:t>Code-Freeze, B-Muster, Vor-Validierung</w:t>
            </w:r>
          </w:p>
        </w:tc>
      </w:tr>
      <w:tr>
        <w:tc>
          <w:tcPr>
            <w:tcW w:type="dxa" w:w="4320"/>
          </w:tcPr>
          <w:p>
            <w:r>
              <w:t>Sitzungstermin</w:t>
            </w:r>
          </w:p>
        </w:tc>
        <w:tc>
          <w:tcPr>
            <w:tcW w:type="dxa" w:w="4320"/>
          </w:tcPr>
          <w:p>
            <w:r>
              <w:t>15.05.2023</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Thomas Weber (COO)</w:t>
            </w:r>
          </w:p>
        </w:tc>
      </w:tr>
      <w:tr>
        <w:tc>
          <w:tcPr>
            <w:tcW w:type="dxa" w:w="4320"/>
          </w:tcPr>
          <w:p>
            <w:r>
              <w:t>Projektleitung</w:t>
            </w:r>
          </w:p>
        </w:tc>
        <w:tc>
          <w:tcPr>
            <w:tcW w:type="dxa" w:w="4320"/>
          </w:tcPr>
          <w:p>
            <w:r>
              <w:t>Marco Frey (RSG)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B-Muster lieferbar (intern) – ERFUELLT</w:t>
      </w:r>
    </w:p>
    <w:p>
      <w:pPr>
        <w:pStyle w:val="ListBullet"/>
      </w:pPr>
      <w:r>
        <w:t>Code-Coverage &gt; 80 % MC/DC – ERFUELLT</w:t>
      </w:r>
    </w:p>
    <w:p>
      <w:pPr>
        <w:pStyle w:val="ListBullet"/>
      </w:pPr>
      <w:r>
        <w:t>Erste EMV-Vorpruefungen erfolgreich – ERFUELLT</w:t>
      </w:r>
    </w:p>
    <w:p>
      <w:pPr>
        <w:pStyle w:val="ListBullet"/>
      </w:pPr>
      <w:r>
        <w:t>Bemusterungs-Plan fuer Kunden abgestimmt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/projekte/PRJ-2022-003/gates/G3/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G3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Marco Frey (RSG)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Marco Frey (RSG)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Marco Frey (RSG)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15.05.2023</w:t>
      </w:r>
    </w:p>
    <w:p>
      <w:r>
        <w:t>_________________________            _________________________</w:t>
        <w:br/>
        <w:t>Dr. Thomas Weber                          Marco Frey (RSG)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