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Januar 2023 – PRJ-2022-003</w:t>
      </w:r>
    </w:p>
    <w:p>
      <w:pPr>
        <w:jc w:val="center"/>
      </w:pPr>
      <w:r>
        <w:t>ECU-900 AUTOSAR Refactoring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AUTOSAR Refactoring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PRJ-2022-003 (ECU-900 AUTOSAR Refactoring) befindet sich im Berichtsmonat Januar 2023 planmaessig in der laufenden Phase. Budget-Forecast +3 % – Steuerungsmassnahmen eingeleitet. Der Hauptkunde VW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Februar 2023</w:t>
      </w:r>
    </w:p>
    <w:p>
      <w:r>
        <w:t>_________________________            _________________________</w:t>
        <w:br/>
        <w:t>Marco Frey (RSG)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