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2023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April 2023 planmaessig in der laufenden Phase. Termin- und Budget-konform; keine kritischen Risiken offen.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Mai 2023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