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Juni 2023 planmaessig in der laufenden Phase. Budget-Forecast +3 % – Steuerungsmassnahmen eingeleitet.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Juli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