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2023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August 2023 planmaessig in der laufenden Phase. Stabil im Plan.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September 2023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