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November 2023 planmaessig in der laufenden Phase. Budget-Forecast +3 % – Steuerungsmassnahmen eingeleitet.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Dezember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