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Juli 2022 planmaessig in der laufenden Phase. Budget-Forecast +3 % – Steuerungsmassnahmen eingeleitet.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August 2022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