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Oktober 2022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Oktober 2022 planmaessig in der laufenden Phase. Termin- und Budget-konform; keine kritischen Risiken offen.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November 2022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