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Dezember 2022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Dezember 2022 planmaessig in der laufenden Phase. Budget-Forecast +3 % – Steuerungsmassnahmen eingeleitet.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Januar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