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Vibrations- und Schockpruefung – ECU-900</w:t>
      </w:r>
    </w:p>
    <w:p>
      <w:pPr>
        <w:jc w:val="center"/>
      </w:pPr>
      <w:r>
        <w:t>PRJ-2022-003 – ECU-900 AUTOSAR Refactoring | Pruefbericht-Nr. PRJ-2022-003-T-VIB-001</w:t>
      </w:r>
    </w:p>
    <w:p/>
    <w:p>
      <w:pPr>
        <w:pStyle w:val="Heading3"/>
      </w:pPr>
      <w:r>
        <w:t>1. Pruefgegenstand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PRJ-2022-003</w:t>
            </w:r>
          </w:p>
        </w:tc>
      </w:tr>
      <w:tr>
        <w:tc>
          <w:tcPr>
            <w:tcW w:type="dxa" w:w="4320"/>
          </w:tcPr>
          <w:p>
            <w:r>
              <w:t>Produktbezeichnung</w:t>
            </w:r>
          </w:p>
        </w:tc>
        <w:tc>
          <w:tcPr>
            <w:tcW w:type="dxa" w:w="4320"/>
          </w:tcPr>
          <w:p>
            <w:r>
              <w:t>ECU-900</w:t>
            </w:r>
          </w:p>
        </w:tc>
      </w:tr>
      <w:tr>
        <w:tc>
          <w:tcPr>
            <w:tcW w:type="dxa" w:w="4320"/>
          </w:tcPr>
          <w:p>
            <w:r>
              <w:t>Pruefmuster (Bezeichnung)</w:t>
            </w:r>
          </w:p>
        </w:tc>
        <w:tc>
          <w:tcPr>
            <w:tcW w:type="dxa" w:w="4320"/>
          </w:tcPr>
          <w:p>
            <w:r>
              <w:t>ECU-900 – Sample-Nr. SN-2023-003</w:t>
            </w:r>
          </w:p>
        </w:tc>
      </w:tr>
      <w:tr>
        <w:tc>
          <w:tcPr>
            <w:tcW w:type="dxa" w:w="4320"/>
          </w:tcPr>
          <w:p>
            <w:r>
              <w:t>Pruefmuster-Index / Stand</w:t>
            </w:r>
          </w:p>
        </w:tc>
        <w:tc>
          <w:tcPr>
            <w:tcW w:type="dxa" w:w="4320"/>
          </w:tcPr>
          <w:p>
            <w:r>
              <w:t>B-Muster, Index B.04</w:t>
            </w:r>
          </w:p>
        </w:tc>
      </w:tr>
      <w:tr>
        <w:tc>
          <w:tcPr>
            <w:tcW w:type="dxa" w:w="4320"/>
          </w:tcPr>
          <w:p>
            <w:r>
              <w:t>Pruef-Typ</w:t>
            </w:r>
          </w:p>
        </w:tc>
        <w:tc>
          <w:tcPr>
            <w:tcW w:type="dxa" w:w="4320"/>
          </w:tcPr>
          <w:p>
            <w:r>
              <w:t>Vibrations- und Schockpruefung</w:t>
            </w:r>
          </w:p>
        </w:tc>
      </w:tr>
      <w:tr>
        <w:tc>
          <w:tcPr>
            <w:tcW w:type="dxa" w:w="4320"/>
          </w:tcPr>
          <w:p>
            <w:r>
              <w:t>Pruefdatum</w:t>
            </w:r>
          </w:p>
        </w:tc>
        <w:tc>
          <w:tcPr>
            <w:tcW w:type="dxa" w:w="4320"/>
          </w:tcPr>
          <w:p>
            <w:r>
              <w:t>15.07.2023</w:t>
            </w:r>
          </w:p>
        </w:tc>
      </w:tr>
      <w:tr>
        <w:tc>
          <w:tcPr>
            <w:tcW w:type="dxa" w:w="4320"/>
          </w:tcPr>
          <w:p>
            <w:r>
              <w:t>Pruefer (Lab-Team)</w:t>
            </w:r>
          </w:p>
        </w:tc>
        <w:tc>
          <w:tcPr>
            <w:tcW w:type="dxa" w:w="4320"/>
          </w:tcPr>
          <w:p>
            <w:r>
              <w:t>Dr. Karl-Heinz Wiegand (Lead), Sabine Brand (REG-Q)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Marco Frey (RSG)</w:t>
            </w:r>
          </w:p>
        </w:tc>
      </w:tr>
    </w:tbl>
    <w:p>
      <w:pPr>
        <w:pStyle w:val="Heading3"/>
      </w:pPr>
      <w:r>
        <w:t>2. Pruefnormen und Spezifikationen</w:t>
      </w:r>
    </w:p>
    <w:p>
      <w:r>
        <w:t>Die Pruefung erfolgte nach den nachstehenden Normen und werksinternen Spezifikationen: ISO 16750-3, LV124, MIL-STD-810G Method 514.6. Zusatzlich wurden die Kunden-spezifischen Anforderungen aus dem Lastenheft (LV124-konforme Ergaenzungen) beruecksichtigt. Die Pruefumgebung und die Messmittel sind nach ISO/IEC 17025 akkreditiert; Kalibrierscheine liegen vor und sind im Pruefprotokoll referenziert.</w:t>
      </w:r>
    </w:p>
    <w:p>
      <w:pPr>
        <w:pStyle w:val="Heading3"/>
      </w:pPr>
      <w:r>
        <w:t>3. Pruefaufbau</w:t>
      </w:r>
    </w:p>
    <w:p>
      <w:r>
        <w:t>Ort: Pruefraum REA Mechanik-Labor Stuttgart, Shaker Unholtz-Dickie.</w:t>
      </w:r>
    </w:p>
    <w:p>
      <w:r>
        <w:t>Pruefaufbau: Das Pruefmuster wurde im Betriebszustand 'normal operation' in die Pruefkammer eingebaut und ueber den werksinternen Pruefadapter versorgt (Bordnetz 12 V/14 V bzw. HV 800 V). Mess-Schnittstellen: CAN, CAN-FD, Automotive Ethernet 100BASE-T1, Diagnose UDS via Vector CANoe 18 SP3, Stromaufnahme via R&amp;S NGM202 Power Supply.</w:t>
      </w:r>
    </w:p>
    <w:p>
      <w:r>
        <w:t>Begleitende Mess-Werkzeuge: Tektronix MSO64 Oszilloskop, ETAS ES910 Mess-Hardware, Vector CANape 23 fuer XCP-on-Ethernet. Alle Geraete waren in der Kalibrierfrist.</w:t>
      </w:r>
    </w:p>
    <w:p>
      <w:pPr>
        <w:pStyle w:val="Heading3"/>
      </w:pPr>
      <w:r>
        <w:t>4. Ergebnis-Zusammenfassung</w:t>
      </w:r>
    </w:p>
    <w:p>
      <w:pPr>
        <w:pStyle w:val="ListBullet"/>
      </w:pPr>
      <w:r>
        <w:t>Sinusvibration 10–2000 Hz, 5 g RMS bestanden – PASS</w:t>
      </w:r>
    </w:p>
    <w:p>
      <w:pPr>
        <w:pStyle w:val="ListBullet"/>
      </w:pPr>
      <w:r>
        <w:t>Rauschen (Random) 10–2000 Hz, 27,8 m/s2 RMS bestanden – PASS</w:t>
      </w:r>
    </w:p>
    <w:p>
      <w:pPr>
        <w:pStyle w:val="ListBullet"/>
      </w:pPr>
      <w:r>
        <w:t>Schock 50 g / 6 ms 3-axial bestanden – PASS</w:t>
      </w:r>
    </w:p>
    <w:p>
      <w:pPr>
        <w:pStyle w:val="ListBullet"/>
      </w:pPr>
      <w:r>
        <w:t>Visuelle und elektrische Inspektion nach Pruefung positiv – PASS</w:t>
      </w:r>
    </w:p>
    <w:p>
      <w:pPr>
        <w:pStyle w:val="Heading3"/>
      </w:pPr>
      <w:r>
        <w:t>5. Detail-Messwerte (Auszug)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Pruefpunkt</w:t>
            </w:r>
          </w:p>
        </w:tc>
        <w:tc>
          <w:tcPr>
            <w:tcW w:type="dxa" w:w="2160"/>
          </w:tcPr>
          <w:p>
            <w:r>
              <w:t>Soll-Wert</w:t>
            </w:r>
          </w:p>
        </w:tc>
        <w:tc>
          <w:tcPr>
            <w:tcW w:type="dxa" w:w="2160"/>
          </w:tcPr>
          <w:p>
            <w:r>
              <w:t>Ist-Wert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</w:tr>
      <w:tr>
        <w:tc>
          <w:tcPr>
            <w:tcW w:type="dxa" w:w="2160"/>
          </w:tcPr>
          <w:p>
            <w:r>
              <w:t>Stromaufnahme Ruhe (mA)</w:t>
            </w:r>
          </w:p>
        </w:tc>
        <w:tc>
          <w:tcPr>
            <w:tcW w:type="dxa" w:w="2160"/>
          </w:tcPr>
          <w:p>
            <w:r>
              <w:t>&lt; 1,5</w:t>
            </w:r>
          </w:p>
        </w:tc>
        <w:tc>
          <w:tcPr>
            <w:tcW w:type="dxa" w:w="2160"/>
          </w:tcPr>
          <w:p>
            <w:r>
              <w:t>0,94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Stromaufnahme Last (A)</w:t>
            </w:r>
          </w:p>
        </w:tc>
        <w:tc>
          <w:tcPr>
            <w:tcW w:type="dxa" w:w="2160"/>
          </w:tcPr>
          <w:p>
            <w:r>
              <w:t>&lt; 4,2</w:t>
            </w:r>
          </w:p>
        </w:tc>
        <w:tc>
          <w:tcPr>
            <w:tcW w:type="dxa" w:w="2160"/>
          </w:tcPr>
          <w:p>
            <w:r>
              <w:t>3,67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Boot-Time (ms)</w:t>
            </w:r>
          </w:p>
        </w:tc>
        <w:tc>
          <w:tcPr>
            <w:tcW w:type="dxa" w:w="2160"/>
          </w:tcPr>
          <w:p>
            <w:r>
              <w:t>&lt; 800</w:t>
            </w:r>
          </w:p>
        </w:tc>
        <w:tc>
          <w:tcPr>
            <w:tcW w:type="dxa" w:w="2160"/>
          </w:tcPr>
          <w:p>
            <w:r>
              <w:t>612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CAN-Bus-Last (%)</w:t>
            </w:r>
          </w:p>
        </w:tc>
        <w:tc>
          <w:tcPr>
            <w:tcW w:type="dxa" w:w="2160"/>
          </w:tcPr>
          <w:p>
            <w:r>
              <w:t>&lt; 60</w:t>
            </w:r>
          </w:p>
        </w:tc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Diagnose-Antwort UDS (ms)</w:t>
            </w:r>
          </w:p>
        </w:tc>
        <w:tc>
          <w:tcPr>
            <w:tcW w:type="dxa" w:w="2160"/>
          </w:tcPr>
          <w:p>
            <w:r>
              <w:t>&lt; 50</w:t>
            </w:r>
          </w:p>
        </w:tc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Temperatur-Innenraum max. (deg C)</w:t>
            </w:r>
          </w:p>
        </w:tc>
        <w:tc>
          <w:tcPr>
            <w:tcW w:type="dxa" w:w="2160"/>
          </w:tcPr>
          <w:p>
            <w:r>
              <w:t>&lt; 95</w:t>
            </w:r>
          </w:p>
        </w:tc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</w:tbl>
    <w:p>
      <w:pPr>
        <w:pStyle w:val="Heading3"/>
      </w:pPr>
      <w:r>
        <w:t>6. Abweichungen und Bemerkungen</w:t>
      </w:r>
    </w:p>
    <w:p>
      <w:r>
        <w:t>Waehrend der Pruefung sind keine sicherheitsrelevanten Abweichungen aufgetreten. Einzelne Messpunkte bewegten sich an der oberen Toleranz-Grenze, blieben jedoch klar innerhalb der Spezifikation. Beobachtete Auffaelligkeiten wurden im Pruef-Logbuch dokumentiert und an die Entwicklung zur Optimierung in der naechsten Muster-Stufe (C-Muster) weitergeleitet.</w:t>
      </w:r>
    </w:p>
    <w:p>
      <w:pPr>
        <w:pStyle w:val="Heading3"/>
      </w:pPr>
      <w:r>
        <w:t>7. Gesamtbewertung</w:t>
      </w:r>
    </w:p>
    <w:p>
      <w:r>
        <w:t>Das Pruefmuster ECU-900 (B-Muster, Index B.04) hat die hier dokumentierten Pruefungen bestanden. Die Anforderungen des Lastenhefts sowie der referenzierten Normen werden erfuellt. Aus Sicht des Pruef-Labors bestehen keine Einwaende gegen die Weitergabe an den Validierungs-Schritt der naechsten Projektphase.</w:t>
      </w:r>
    </w:p>
    <w:p>
      <w:pPr>
        <w:pStyle w:val="Heading3"/>
      </w:pPr>
      <w:r>
        <w:t>8. Unterschriften / Freigabe</w:t>
      </w:r>
    </w:p>
    <w:p>
      <w:r>
        <w:t>Ort, Datum: Stuttgart, den 15.07.2023</w:t>
      </w:r>
    </w:p>
    <w:p>
      <w:r>
        <w:t>_________________________            _________________________</w:t>
        <w:br/>
        <w:t>Dr. Karl-Heinz Wiegand                          Marco Frey (RSG)</w:t>
        <w:br/>
        <w:t>Pruefer / Lab-Lead                          Projektleitung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