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PRJ-2023-001 – ADAS-V4D Radar Fusion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28.4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2023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2025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PRJ-2023-001 »ADAS-V4D Radar Fusion«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Mercedes-Benz, Stellantis.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Entwicklung eines Level-2+/Level-3-faehigen Radar-Fusion-Steuergeraets mit 4x Frontradar 77 GHz, 5x Eckradare, Kamera-Fusion und HD-Map-Integration. Ziel: Highway-Pilot bis 130 km/h, Stau-Pilot bis 60 km/h, Verfuegbarkeit &gt; 98 % im freigegebenen ODD.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Sensor-Fusion-Algorithmus</w:t>
      </w:r>
    </w:p>
    <w:p>
      <w:pPr>
        <w:pStyle w:val="ListBullet"/>
      </w:pPr>
      <w:r>
        <w:t>ODD-Definition</w:t>
      </w:r>
    </w:p>
    <w:p>
      <w:pPr>
        <w:pStyle w:val="ListBullet"/>
      </w:pPr>
      <w:r>
        <w:t>HD-Map Provider Mercedes/HERE</w:t>
      </w:r>
    </w:p>
    <w:p>
      <w:pPr>
        <w:pStyle w:val="ListBullet"/>
      </w:pPr>
      <w:r>
        <w:t>Sicherheits-Architektur ISO 21448 (SOTIF)</w:t>
      </w:r>
    </w:p>
    <w:p>
      <w:pPr>
        <w:pStyle w:val="ListBullet"/>
      </w:pPr>
      <w:r>
        <w:t>Validierungs-Strecke / EuroNCAP-Konformitaet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Mercedes-Benz, Stellantis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SOTIF-Nachweis nicht abschliessend definiert</w:t>
      </w:r>
    </w:p>
    <w:p>
      <w:pPr>
        <w:pStyle w:val="ListBullet"/>
      </w:pPr>
      <w:r>
        <w:t>HD-Map Lizenz/Daten-Hoheit</w:t>
      </w:r>
    </w:p>
    <w:p>
      <w:pPr>
        <w:pStyle w:val="ListBullet"/>
      </w:pPr>
      <w:r>
        <w:t>Konflikt Stellantis vs. Mercedes Requirements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2023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28.4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Projektleitung</w:t>
        <w:br/>
        <w:t>Projekt-Sponsor                          PL ADAS-V4D Radar Fusion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