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PRJ-2023-001 – ADAS-V4D Radar Fusion</w:t>
      </w:r>
    </w:p>
    <w:p>
      <w:pPr>
        <w:jc w:val="center"/>
      </w:pPr>
      <w:r>
        <w:t>Post-Mortem-Workshop, Stand 2025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28.4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29.5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2025</w:t>
      </w:r>
    </w:p>
    <w:p>
      <w:r>
        <w:t>_________________________            _________________________</w:t>
        <w:br/>
        <w:t>Dr. Petra Hollmann                          Dr. Stefan Brodbeck (RSG)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