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PRJ-2023-001 – ADAS-V4D Radar Fusion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PRJ-2023-001.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Dr. Petra Hollmann (CTO ab 7/2024)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ADAS-V4D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Sensor-Fusion-Algorithmus</w:t>
      </w:r>
    </w:p>
    <w:p>
      <w:pPr>
        <w:pStyle w:val="ListBullet"/>
      </w:pPr>
      <w:r>
        <w:t>ODD-Definition</w:t>
      </w:r>
    </w:p>
    <w:p>
      <w:pPr>
        <w:pStyle w:val="ListBullet"/>
      </w:pPr>
      <w:r>
        <w:t>HD-Map Provider Mercedes/HERE</w:t>
      </w:r>
    </w:p>
    <w:p>
      <w:pPr>
        <w:pStyle w:val="ListBullet"/>
      </w:pPr>
      <w:r>
        <w:t>Sicherheits-Architektur ISO 21448 (SOTIF)</w:t>
      </w:r>
    </w:p>
    <w:p>
      <w:pPr>
        <w:pStyle w:val="ListBullet"/>
      </w:pPr>
      <w:r>
        <w:t>Validierungs-Strecke / EuroNCAP-Konformitaet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Entwicklung eines Level-2+/Level-3-faehigen Radar-Fusion-Steuergeraets mit 4x Frontradar 77 GHz, 5x Eckradare, Kamera-Fusion und HD-Map-Integration. Ziel: Highway-Pilot bis 130 km/h, Stau-Pilot bis 60 km/h, Verfuegbarkeit &gt; 98 % im freigegebenen ODD. Ziel-Termin SOP: Q4 2025.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