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August 2023 – PRJ-2023-001</w:t>
      </w:r>
    </w:p>
    <w:p>
      <w:pPr>
        <w:jc w:val="center"/>
      </w:pPr>
      <w:r>
        <w:t>ADAS-V4D Radar Fusion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PRJ-2023-001 (ADAS-V4D Radar Fusion) befindet sich im Berichtsmonat August 2023 planmaessig in der laufenden Phase. Budget-Forecast +3 % – Steuerungsmassnahmen eingeleitet. Der Hauptkunde Mercedes-Benz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September 2023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