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2023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November 2023 planmaessig in der laufenden Phase. Termin- und Budget-konform; keine kritischen Risiken offen.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Dezember 2023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