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Februar 2024 planmaessig in der laufenden Phase. Budget-Forecast +3 % – Steuerungsmassnahmen eingeleitet.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