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Maerz 2024 – PRJ-2023-001</w:t>
      </w:r>
    </w:p>
    <w:p>
      <w:pPr>
        <w:jc w:val="center"/>
      </w:pPr>
      <w:r>
        <w:t>ADAS-V4D Radar Fusion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Radar Fusion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Maerz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April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PRJ-2023-001 (ADAS-V4D Radar Fusion) befindet sich im Berichtsmonat Maerz 2024 planmaessig in der laufenden Phase. Qualitaets-Issue B-Muster identifiziert; Hotfix in Validierung. Der Hauptkunde Mercedes-Benz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April 2024</w:t>
      </w:r>
    </w:p>
    <w:p>
      <w:r>
        <w:t>_________________________            _________________________</w:t>
        <w:br/>
        <w:t>Dr. Stefan Brodbeck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