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2024 – PRJ-2023-001</w:t>
      </w:r>
    </w:p>
    <w:p>
      <w:pPr>
        <w:jc w:val="center"/>
      </w:pPr>
      <w:r>
        <w:t>ADAS-V4D Radar Fusion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Radar Fusion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 / Stellantis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Petra Hollmann (CTO)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2024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PRJ-2023-001 (ADAS-V4D Radar Fusion) befindet sich im Berichtsmonat April 2024 planmaessig in der laufenden Phase. Stabil im Plan. Der Hauptkunde Mercedes-Benz / Stellantis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Architektur-Review mit Vector und dSpace abgeschlossen.</w:t>
      </w:r>
    </w:p>
    <w:p>
      <w:pPr>
        <w:pStyle w:val="ListBullet"/>
      </w:pPr>
      <w:r>
        <w:t>B-Muster-Fertigung in REG Heilbronn angelaufen (12/15 Samples).</w:t>
      </w:r>
    </w:p>
    <w:p>
      <w:pPr>
        <w:pStyle w:val="ListBullet"/>
      </w:pPr>
      <w:r>
        <w:t>HiL-Pruefstand RSG Muenchen mit aktualisierter FW geflasht.</w:t>
      </w:r>
    </w:p>
    <w:p>
      <w:pPr>
        <w:pStyle w:val="ListBullet"/>
      </w:pPr>
      <w:r>
        <w:t>Lieferanten-Onboarding Aurix (Infineon Distributor Avnet) bestaetigt.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2024</w:t>
      </w:r>
    </w:p>
    <w:p>
      <w:r>
        <w:t>_________________________            _________________________</w:t>
        <w:br/>
        <w:t>Dr. Stefan Brodbeck (RSG)                          Dr. Petra Hollmann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