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Mai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Mai 2024 planmaessig in der laufenden Phase. Termin- und Budget-konform; keine kritischen Risiken offen.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Juni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