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Juli 2024 planmaessig in der laufenden Phase. Budget-Forecast +3 % – Steuerungsmassnahmen eingeleitet.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