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Oktober 2024 planmaessig in der laufenden Phase. Termin- und Budget-konform; keine kritischen Risiken offen.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