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Dezember 2024 planmaessig in der laufenden Phase. Budget-Forecast +3 % – Steuerungsmassnahmen eingeleitet.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2025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