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Januar 2023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Januar 2023 planmaessig in der laufenden Phase. Termin- und Budget-konform; keine kritischen Risiken offen.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Februar 2023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