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PRJ-2023-002 – BatteryMS-12 China Adaptation</w:t>
      </w:r>
    </w:p>
    <w:p>
      <w:pPr>
        <w:jc w:val="center"/>
      </w:pPr>
      <w:r>
        <w:t>Post-Mortem-Workshop, Stand 2025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9.6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10.0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2025</w:t>
      </w:r>
    </w:p>
    <w:p>
      <w:r>
        <w:t>_________________________            _________________________</w:t>
        <w:br/>
        <w:t>Dr. Yuki Tanaka                          Zhang Hao (RCN, Country Mgr)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