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2023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Oktober 2023 planmaessig in der laufenden Phase. Termin- und Budget-konform; keine kritischen Risiken offen.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November 2023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