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Januar 2024 planmaessig in der laufenden Phase. Budget-Forecast +3 % – Steuerungsmassnahmen eingeleitet.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Februar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