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April 2024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April 2024 planmaessig in der laufenden Phase. Termin- und Budget-konform; keine kritischen Risiken offen.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Mai 2024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