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Status Mai 2024 – PRJ-2023-002</w:t>
      </w:r>
    </w:p>
    <w:p>
      <w:pPr>
        <w:jc w:val="center"/>
      </w:pPr>
      <w:r>
        <w:t>BatteryMS-12 China Adaptation | Projekt-Statusbericht (monatlich)</w:t>
      </w:r>
    </w:p>
    <w:p/>
    <w:p>
      <w:pPr>
        <w:pStyle w:val="Heading3"/>
      </w:pPr>
      <w:r>
        <w:t>1. Projekt-Identifikation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PRJ-2023-002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BatteryMS-12 China Adaptation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BMS-12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CATL / Hyundai (CN)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Zhang Hao (RCN)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Dr. Yuki Tanaka (CRO Asia)</w:t>
            </w:r>
          </w:p>
        </w:tc>
      </w:tr>
      <w:tr>
        <w:tc>
          <w:tcPr>
            <w:tcW w:type="dxa" w:w="4320"/>
          </w:tcPr>
          <w:p>
            <w:r>
              <w:t>Berichtsmonat</w:t>
            </w:r>
          </w:p>
        </w:tc>
        <w:tc>
          <w:tcPr>
            <w:tcW w:type="dxa" w:w="4320"/>
          </w:tcPr>
          <w:p>
            <w:r>
              <w:t>Mai 2024</w:t>
            </w:r>
          </w:p>
        </w:tc>
      </w:tr>
      <w:tr>
        <w:tc>
          <w:tcPr>
            <w:tcW w:type="dxa" w:w="4320"/>
          </w:tcPr>
          <w:p>
            <w:r>
              <w:t>Erstellt am</w:t>
            </w:r>
          </w:p>
        </w:tc>
        <w:tc>
          <w:tcPr>
            <w:tcW w:type="dxa" w:w="4320"/>
          </w:tcPr>
          <w:p>
            <w:r>
              <w:t>05. Juni 2024</w:t>
            </w:r>
          </w:p>
        </w:tc>
      </w:tr>
    </w:tbl>
    <w:p>
      <w:pPr>
        <w:pStyle w:val="Heading3"/>
      </w:pPr>
      <w:r>
        <w:t>2. Status-Ampel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Ampel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Termin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Bezogen auf Gate-Soll-Termine</w:t>
            </w:r>
          </w:p>
        </w:tc>
      </w:tr>
      <w:tr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EAC vs. Genehmigtes Budget</w:t>
            </w:r>
          </w:p>
        </w:tc>
      </w:tr>
      <w:tr>
        <w:tc>
          <w:tcPr>
            <w:tcW w:type="dxa" w:w="2880"/>
          </w:tcPr>
          <w:p>
            <w:r>
              <w:t>Qualitaet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Defects, Test-Coverage, Q-KPIs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offenen Scope-Aenderungen</w:t>
            </w:r>
          </w:p>
        </w:tc>
      </w:tr>
      <w:tr>
        <w:tc>
          <w:tcPr>
            <w:tcW w:type="dxa" w:w="2880"/>
          </w:tcPr>
          <w:p>
            <w:r>
              <w:t>Risiken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Drei Top-Risiken aktiv, Massnahmen wirksam</w:t>
            </w:r>
          </w:p>
        </w:tc>
      </w:tr>
    </w:tbl>
    <w:p>
      <w:pPr>
        <w:pStyle w:val="Heading3"/>
      </w:pPr>
      <w:r>
        <w:t>3. Zusammenfassung</w:t>
      </w:r>
    </w:p>
    <w:p>
      <w:r>
        <w:t>Das Projekt PRJ-2023-002 (BatteryMS-12 China Adaptation) befindet sich im Berichtsmonat Mai 2024 planmaessig in der laufenden Phase. Termintreue mit leichter Verzoegerung; Massnahmen wirken. Der Hauptkunde CATL / Hyundai (CN) wurde im Rahmen der monatlichen OEM-Steuerung informiert und hat den Berichtsstand zur Kenntnis genommen. Die Lenkungsausschuss-Sitzung des laufenden Monats hat die Massnahmen-Plaene zur Kenntnis genommen und keine Eskalation ausgesprochen.</w:t>
      </w:r>
    </w:p>
    <w:p>
      <w:pPr>
        <w:pStyle w:val="Heading3"/>
      </w:pPr>
      <w:r>
        <w:t>4. Fortschritt im Berichtsmonat</w:t>
      </w:r>
    </w:p>
    <w:p>
      <w:pPr>
        <w:pStyle w:val="ListBullet"/>
      </w:pPr>
      <w:r>
        <w:t>Code-Review-Quote auf 92 % gesteigert (Ziel 90 %).</w:t>
      </w:r>
    </w:p>
    <w:p>
      <w:pPr>
        <w:pStyle w:val="ListBullet"/>
      </w:pPr>
      <w:r>
        <w:t>Erste EMV-Pre-Test-Reihe im REA-Labor abgeschlossen (PASS).</w:t>
      </w:r>
    </w:p>
    <w:p>
      <w:pPr>
        <w:pStyle w:val="ListBullet"/>
      </w:pPr>
      <w:r>
        <w:t>OEM-Workshop in Wolfsburg / Stuttgart durchgefuehrt (3 Tage).</w:t>
      </w:r>
    </w:p>
    <w:p>
      <w:pPr>
        <w:pStyle w:val="ListBullet"/>
      </w:pPr>
      <w:r>
        <w:t>Aenderungen aus Change-Board CCB-2023-04 eingearbeitet.</w:t>
      </w:r>
    </w:p>
    <w:p>
      <w:pPr>
        <w:pStyle w:val="Heading3"/>
      </w:pPr>
      <w:r>
        <w:t>5. Top-3-Risiken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Risiko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Halbleiter-Allocation (Aurix/SoC)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Strategic-Sourcing Eskalation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</w:tr>
      <w:tr>
        <w:tc>
          <w:tcPr>
            <w:tcW w:type="dxa" w:w="2160"/>
          </w:tcPr>
          <w:p>
            <w:r>
              <w:t>OEM-Spec-Spaetaenderung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CCB-Steuerung + Change-Control</w:t>
            </w:r>
          </w:p>
        </w:tc>
        <w:tc>
          <w:tcPr>
            <w:tcW w:type="dxa" w:w="2160"/>
          </w:tcPr>
          <w:p>
            <w:r>
              <w:t>PMO</w:t>
            </w:r>
          </w:p>
        </w:tc>
      </w:tr>
      <w:tr>
        <w:tc>
          <w:tcPr>
            <w:tcW w:type="dxa" w:w="2160"/>
          </w:tcPr>
          <w:p>
            <w:r>
              <w:t>Personalverfuegbarkeit Engineering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Capacity-Planning RSG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</w:tr>
    </w:tbl>
    <w:p>
      <w:pPr>
        <w:pStyle w:val="Heading3"/>
      </w:pPr>
      <w:r>
        <w:t>6. Budget-/Termin-Forecast</w:t>
      </w:r>
    </w:p>
    <w:p>
      <w:r>
        <w:t>Der Budget-Forecast (EAC) liegt aktuell innerhalb der vom Vorstand genehmigten Toleranz von 5 %. Die Termin-Verzuege aus den vorausgegangenen Phasen wurden teilweise durch parallelisierte Validierung kompensiert. Der naechste Termin-Update erfolgt im Rahmen der monatlichen Lenkungsausschuss-Sitzung.</w:t>
      </w:r>
    </w:p>
    <w:p>
      <w:pPr>
        <w:pStyle w:val="Heading3"/>
      </w:pPr>
      <w:r>
        <w:t>7. Themen / Plan fuer Folgemonat</w:t>
      </w:r>
    </w:p>
    <w:p>
      <w:pPr>
        <w:pStyle w:val="ListBullet"/>
      </w:pPr>
      <w:r>
        <w:t>Validierungs-Sign-Off</w:t>
      </w:r>
    </w:p>
    <w:p>
      <w:pPr>
        <w:pStyle w:val="ListBullet"/>
      </w:pPr>
      <w:r>
        <w:t>Type-Approval-Antrag KBA</w:t>
      </w:r>
    </w:p>
    <w:p>
      <w:pPr>
        <w:pStyle w:val="ListBullet"/>
      </w:pPr>
      <w:r>
        <w:t>Production Readiness Review</w:t>
      </w:r>
    </w:p>
    <w:p>
      <w:pPr>
        <w:pStyle w:val="ListBullet"/>
      </w:pPr>
      <w:r>
        <w:t>Lessons-Learned-Workshop</w:t>
      </w:r>
    </w:p>
    <w:p>
      <w:pPr>
        <w:pStyle w:val="Heading3"/>
      </w:pPr>
      <w:r>
        <w:t>8. Unterschrift / Freigabe</w:t>
      </w:r>
    </w:p>
    <w:p>
      <w:r>
        <w:t>Ort, Datum: Stuttgart, den 05. Juni 2024</w:t>
      </w:r>
    </w:p>
    <w:p>
      <w:r>
        <w:t>_________________________            _________________________</w:t>
        <w:br/>
        <w:t>Zhang Hao (RCN)                          Dr. Yuki Tanaka</w:t>
        <w:br/>
        <w:t>Projektleitung                          Projekt-Sponsor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