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Juli 2023 planmaessig in der laufenden Phase. Budget-Forecast +3 % – Steuerungsmassnahmen eingeleitet.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