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August 2023 – PRJ-2023-002</w:t>
      </w:r>
    </w:p>
    <w:p>
      <w:pPr>
        <w:jc w:val="center"/>
      </w:pPr>
      <w:r>
        <w:t>BatteryMS-12 China Adaptation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China Adaptation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CATL / Hyundai (CN)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Zhang Hao (RCN)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Yuki Tanaka (CRO Asia)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August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September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PRJ-2023-002 (BatteryMS-12 China Adaptation) befindet sich im Berichtsmonat August 2023 planmaessig in der laufenden Phase. Qualitaets-Issue B-Muster identifiziert; Hotfix in Validierung. Der Hauptkunde CATL / Hyundai (CN)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September 2023</w:t>
      </w:r>
    </w:p>
    <w:p>
      <w:r>
        <w:t>_________________________            _________________________</w:t>
        <w:br/>
        <w:t>Zhang Hao (RCN)                          Dr. Yuki Tanaka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