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Vibrations- und Schockpruefung – BMS-12</w:t>
      </w:r>
    </w:p>
    <w:p>
      <w:pPr>
        <w:jc w:val="center"/>
      </w:pPr>
      <w:r>
        <w:t>PRJ-2023-002 – BatteryMS-12 China Adaptation | Pruefbericht-Nr. PRJ-2023-002-T-VIB-001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BMS-12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Vibrations- und Schockpruefung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15.07.2024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(RCN, Country Mgr)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16750-3, LV124, MIL-STD-810G Method 514.6.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Mechanik-Labor Stuttgart, Shaker Unholtz-Dickie.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Sinusvibration 10–2000 Hz, 5 g RMS bestanden – PASS</w:t>
      </w:r>
    </w:p>
    <w:p>
      <w:pPr>
        <w:pStyle w:val="ListBullet"/>
      </w:pPr>
      <w:r>
        <w:t>Rauschen (Random) 10–2000 Hz, 27,8 m/s2 RMS bestanden – PASS</w:t>
      </w:r>
    </w:p>
    <w:p>
      <w:pPr>
        <w:pStyle w:val="ListBullet"/>
      </w:pPr>
      <w:r>
        <w:t>Schock 50 g / 6 ms 3-axial bestanden – PASS</w:t>
      </w:r>
    </w:p>
    <w:p>
      <w:pPr>
        <w:pStyle w:val="ListBullet"/>
      </w:pPr>
      <w:r>
        <w:t>Visuelle und elektrische Inspektion nach Pruefung positiv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BMS-12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15.07.2024</w:t>
      </w:r>
    </w:p>
    <w:p>
      <w:r>
        <w:t>_________________________            _________________________</w:t>
        <w:br/>
        <w:t>Dr. Karl-Heinz Wiegand                          Zhang Hao (RCN, Country Mgr)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