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Mai 2024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Mai 2024 planmaessig in der laufenden Phase. Budget-Forecast +3 % – Steuerungsmassnahmen eingeleitet.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Juni 2024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