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2024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Oktober 2024 planmaessig in der laufenden Phase. Budget-Forecast +3 % – Steuerungsmassnahmen eingeleitet.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November 2024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